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920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OSNOVNA ŠKOLA STJEPANA RADIĆA ČAGLIN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Vladimira Nazora 3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34350 Čaglin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OIB: 18173968246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RKP: 9675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MB: 03310094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Razina: 31 (proračunski korisnik jedinice lokalne i područne (regionalne) samouprave koji obavlja poslove u sklopu funkcija koje se decentraliziraju)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Razdjel: 000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Šifra djelatnosti: 8520 (Osnovno obrazovanje)</w:t>
      </w:r>
    </w:p>
    <w:p w:rsidR="003D6856" w:rsidRDefault="003D6856" w:rsidP="003D6856">
      <w:pPr>
        <w:pStyle w:val="Bezproreda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Šifra općine: 58 (Županija: Požeško-slavonska, Općina: Čaglin)</w:t>
      </w:r>
    </w:p>
    <w:p w:rsidR="00242683" w:rsidRDefault="00242683" w:rsidP="003D6856">
      <w:pPr>
        <w:pStyle w:val="Bezproreda"/>
        <w:rPr>
          <w:b/>
          <w:sz w:val="24"/>
          <w:szCs w:val="24"/>
        </w:rPr>
      </w:pPr>
    </w:p>
    <w:p w:rsidR="00242683" w:rsidRPr="003D6856" w:rsidRDefault="00242683" w:rsidP="003D6856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>Čaglin, 1. veljače 2016. godine</w:t>
      </w:r>
    </w:p>
    <w:p w:rsidR="003D6856" w:rsidRPr="003D6856" w:rsidRDefault="003D6856" w:rsidP="003D6856">
      <w:pPr>
        <w:pStyle w:val="Bezproreda"/>
        <w:rPr>
          <w:b/>
          <w:sz w:val="24"/>
          <w:szCs w:val="24"/>
        </w:rPr>
      </w:pPr>
    </w:p>
    <w:p w:rsidR="003D6856" w:rsidRPr="003D6856" w:rsidRDefault="003D6856">
      <w:pPr>
        <w:rPr>
          <w:sz w:val="24"/>
          <w:szCs w:val="24"/>
        </w:rPr>
      </w:pPr>
    </w:p>
    <w:p w:rsidR="003D6856" w:rsidRPr="003D6856" w:rsidRDefault="003D6856" w:rsidP="003D6856">
      <w:pPr>
        <w:pStyle w:val="Bezproreda"/>
        <w:jc w:val="center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BILJEŠKE UZ FINANCIJSKA IZVJEŠĆA ZA RAZDOBLJE</w:t>
      </w:r>
    </w:p>
    <w:p w:rsidR="003D6856" w:rsidRDefault="003D6856" w:rsidP="006139B2">
      <w:pPr>
        <w:pStyle w:val="Bezproreda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3D6856">
        <w:rPr>
          <w:b/>
          <w:sz w:val="24"/>
          <w:szCs w:val="24"/>
        </w:rPr>
        <w:t>SIJEČANJ – 31. PROSINAC 2015. GODINE</w:t>
      </w:r>
    </w:p>
    <w:p w:rsidR="003D6856" w:rsidRDefault="003D6856" w:rsidP="003D6856">
      <w:pPr>
        <w:pStyle w:val="Bezproreda"/>
        <w:jc w:val="center"/>
        <w:rPr>
          <w:b/>
          <w:sz w:val="24"/>
          <w:szCs w:val="24"/>
        </w:rPr>
      </w:pPr>
    </w:p>
    <w:p w:rsidR="005A77FE" w:rsidRDefault="005A77FE" w:rsidP="005A77FE">
      <w:pPr>
        <w:pStyle w:val="Bezproreda"/>
        <w:rPr>
          <w:b/>
          <w:sz w:val="24"/>
          <w:szCs w:val="24"/>
        </w:rPr>
      </w:pPr>
    </w:p>
    <w:p w:rsidR="005A77FE" w:rsidRPr="00D12CB3" w:rsidRDefault="005A77FE" w:rsidP="005A77FE">
      <w:pPr>
        <w:pStyle w:val="Bezproreda"/>
        <w:rPr>
          <w:b/>
          <w:sz w:val="28"/>
          <w:szCs w:val="28"/>
          <w:u w:val="single"/>
        </w:rPr>
      </w:pPr>
      <w:r w:rsidRPr="00D12CB3">
        <w:rPr>
          <w:b/>
          <w:sz w:val="28"/>
          <w:szCs w:val="28"/>
          <w:u w:val="single"/>
        </w:rPr>
        <w:t>BILJEŠKE UZ</w:t>
      </w:r>
      <w:r w:rsidR="004B44DC" w:rsidRPr="00D12CB3">
        <w:rPr>
          <w:b/>
          <w:sz w:val="28"/>
          <w:szCs w:val="28"/>
          <w:u w:val="single"/>
        </w:rPr>
        <w:t>OBARAZC BILANCA</w:t>
      </w:r>
      <w:r w:rsidRPr="00D12CB3">
        <w:rPr>
          <w:b/>
          <w:sz w:val="28"/>
          <w:szCs w:val="28"/>
          <w:u w:val="single"/>
        </w:rPr>
        <w:t xml:space="preserve"> </w:t>
      </w:r>
    </w:p>
    <w:p w:rsidR="005A77FE" w:rsidRDefault="00C90682" w:rsidP="005A77FE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4128EC" w:rsidRDefault="004128EC" w:rsidP="00014900">
      <w:pPr>
        <w:pStyle w:val="Bezproreda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AOP 002 – Nefinancijska imovina</w:t>
      </w:r>
    </w:p>
    <w:p w:rsidR="004128EC" w:rsidRDefault="004128EC" w:rsidP="005A77F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AOP-u 003 </w:t>
      </w:r>
      <w:proofErr w:type="spellStart"/>
      <w:r>
        <w:rPr>
          <w:sz w:val="24"/>
          <w:szCs w:val="24"/>
        </w:rPr>
        <w:t>Neproizvedena</w:t>
      </w:r>
      <w:proofErr w:type="spellEnd"/>
      <w:r>
        <w:rPr>
          <w:sz w:val="24"/>
          <w:szCs w:val="24"/>
        </w:rPr>
        <w:t xml:space="preserve"> dugotrajna imovina nije došlo do nikakvih promjena.</w:t>
      </w:r>
    </w:p>
    <w:p w:rsidR="004128EC" w:rsidRDefault="004128EC" w:rsidP="005A77FE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AOP-u 007 Proizvedena dugotrajna imovina došlo je do određenih promjena zbog nabave i rashodovanja imovine. </w:t>
      </w:r>
    </w:p>
    <w:p w:rsidR="00C90682" w:rsidRDefault="009F3ACC" w:rsidP="003D685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Uspoređujući podatke na početku i kraju 2015. godine </w:t>
      </w:r>
      <w:r w:rsidR="008C0596">
        <w:rPr>
          <w:sz w:val="24"/>
          <w:szCs w:val="24"/>
        </w:rPr>
        <w:t xml:space="preserve">o promjeni pojedinih </w:t>
      </w:r>
      <w:r w:rsidR="005A77FE">
        <w:rPr>
          <w:sz w:val="24"/>
          <w:szCs w:val="24"/>
        </w:rPr>
        <w:t xml:space="preserve">odjeljaka postrojenja i opreme </w:t>
      </w:r>
      <w:r w:rsidR="00366788">
        <w:rPr>
          <w:sz w:val="24"/>
          <w:szCs w:val="24"/>
        </w:rPr>
        <w:t xml:space="preserve">te knjiga </w:t>
      </w:r>
      <w:r w:rsidR="005A77FE">
        <w:rPr>
          <w:sz w:val="24"/>
          <w:szCs w:val="24"/>
        </w:rPr>
        <w:t>zaključak je da je tokom 2015. godine</w:t>
      </w:r>
      <w:r w:rsidR="00C90682">
        <w:rPr>
          <w:sz w:val="24"/>
          <w:szCs w:val="24"/>
        </w:rPr>
        <w:t xml:space="preserve"> na pojedinim odjeljcima </w:t>
      </w:r>
      <w:r w:rsidR="005A77FE">
        <w:rPr>
          <w:sz w:val="24"/>
          <w:szCs w:val="24"/>
        </w:rPr>
        <w:t xml:space="preserve"> </w:t>
      </w:r>
      <w:r w:rsidR="00C90682">
        <w:rPr>
          <w:sz w:val="24"/>
          <w:szCs w:val="24"/>
        </w:rPr>
        <w:t>povećavana vrijednost imovine od 0,7% do 27,8%, a na pojedinim odjeljcima došlo je do smanjenja vrijednosti imovine od</w:t>
      </w:r>
      <w:r w:rsidR="00D21485">
        <w:rPr>
          <w:sz w:val="24"/>
          <w:szCs w:val="24"/>
        </w:rPr>
        <w:t xml:space="preserve"> 3,4% do </w:t>
      </w:r>
      <w:r w:rsidR="00C90682">
        <w:rPr>
          <w:sz w:val="24"/>
          <w:szCs w:val="24"/>
        </w:rPr>
        <w:t xml:space="preserve">59,6%. </w:t>
      </w:r>
      <w:r w:rsidR="00D21485">
        <w:rPr>
          <w:sz w:val="24"/>
          <w:szCs w:val="24"/>
        </w:rPr>
        <w:t>Veće odstupanje kod povećanja vrijednosti imovine  primjećuje se kod AOP 031 Knjige jer je došlo do veće nabave knjiga za knjižnicu iz kapitalne donacije, te nadalje, veće odstupanje u smanjenju vrijednosti imovine bilježi se na AOP</w:t>
      </w:r>
      <w:r w:rsidR="009F763D">
        <w:rPr>
          <w:sz w:val="24"/>
          <w:szCs w:val="24"/>
        </w:rPr>
        <w:t>-u</w:t>
      </w:r>
      <w:r w:rsidR="00D21485">
        <w:rPr>
          <w:sz w:val="24"/>
          <w:szCs w:val="24"/>
        </w:rPr>
        <w:t xml:space="preserve"> 017 Oprema zbog rashodovanja dotrajale imovine.  </w:t>
      </w:r>
    </w:p>
    <w:p w:rsidR="00014900" w:rsidRDefault="00014900" w:rsidP="003D6856">
      <w:pPr>
        <w:pStyle w:val="Bezproreda"/>
        <w:rPr>
          <w:sz w:val="24"/>
          <w:szCs w:val="24"/>
        </w:rPr>
      </w:pPr>
    </w:p>
    <w:p w:rsidR="00014900" w:rsidRDefault="00366788" w:rsidP="003D6856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Podatak o ispravku vrijednosti građevinskih objekata ima tendenciju povećanja od 2,3% kao i ispravak vrijednosti knjiga od 1,8%, a ispravak vrijednosti postrojenja i opreme ima tendenciju smanjenja od 11,4%.</w:t>
      </w:r>
    </w:p>
    <w:p w:rsidR="00014900" w:rsidRDefault="00014900" w:rsidP="00014900">
      <w:pPr>
        <w:pStyle w:val="Bezproreda"/>
        <w:rPr>
          <w:sz w:val="24"/>
          <w:szCs w:val="24"/>
        </w:rPr>
      </w:pPr>
    </w:p>
    <w:p w:rsidR="003D6856" w:rsidRDefault="00014900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Slijedom navedenoga dolazimo do podatka da je s</w:t>
      </w:r>
      <w:r w:rsidR="00EA596E">
        <w:rPr>
          <w:sz w:val="24"/>
          <w:szCs w:val="24"/>
        </w:rPr>
        <w:t>adašnja vrijednost</w:t>
      </w:r>
      <w:r>
        <w:rPr>
          <w:sz w:val="24"/>
          <w:szCs w:val="24"/>
        </w:rPr>
        <w:t xml:space="preserve"> nefinancijske imovine 1,6% manja u odnosu na početak godine. </w:t>
      </w:r>
    </w:p>
    <w:p w:rsidR="00014900" w:rsidRDefault="00014900" w:rsidP="00014900">
      <w:pPr>
        <w:pStyle w:val="Bezproreda"/>
        <w:rPr>
          <w:sz w:val="24"/>
          <w:szCs w:val="24"/>
        </w:rPr>
      </w:pPr>
    </w:p>
    <w:p w:rsidR="00014900" w:rsidRDefault="00014900" w:rsidP="00014900">
      <w:pPr>
        <w:pStyle w:val="Bezproreda"/>
        <w:rPr>
          <w:sz w:val="24"/>
          <w:szCs w:val="24"/>
        </w:rPr>
      </w:pPr>
    </w:p>
    <w:p w:rsidR="00014900" w:rsidRDefault="00014900" w:rsidP="00014900">
      <w:pPr>
        <w:pStyle w:val="Bezproreda"/>
        <w:rPr>
          <w:b/>
          <w:sz w:val="24"/>
          <w:szCs w:val="24"/>
        </w:rPr>
      </w:pPr>
      <w:r w:rsidRPr="00014900">
        <w:rPr>
          <w:b/>
          <w:sz w:val="24"/>
          <w:szCs w:val="24"/>
        </w:rPr>
        <w:t xml:space="preserve">AOP 063 – Financijska imovina </w:t>
      </w:r>
    </w:p>
    <w:p w:rsidR="00014900" w:rsidRDefault="00014900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Usporedbom stanja financijske imovine na početku i kraju godine dolazimo do podatka da je financijska imovina manja za 38,6%</w:t>
      </w:r>
      <w:r w:rsidR="009A4246">
        <w:rPr>
          <w:sz w:val="24"/>
          <w:szCs w:val="24"/>
        </w:rPr>
        <w:t>. Razlog tomu je što više nema odstupanja od primjene gotovinskog načela priznavanja prihoda. Dosadašnjih godina, proračunski korisnici – škole,</w:t>
      </w:r>
      <w:r w:rsidR="009F763D">
        <w:rPr>
          <w:sz w:val="24"/>
          <w:szCs w:val="24"/>
        </w:rPr>
        <w:t xml:space="preserve"> za </w:t>
      </w:r>
      <w:r w:rsidR="009A4246">
        <w:rPr>
          <w:sz w:val="24"/>
          <w:szCs w:val="24"/>
        </w:rPr>
        <w:t xml:space="preserve"> prihode koji se odnose na prethodnu godinu, a </w:t>
      </w:r>
      <w:r w:rsidR="009F763D">
        <w:rPr>
          <w:sz w:val="24"/>
          <w:szCs w:val="24"/>
        </w:rPr>
        <w:t>koji su bili doznačeni</w:t>
      </w:r>
      <w:r w:rsidR="009A4246">
        <w:rPr>
          <w:sz w:val="24"/>
          <w:szCs w:val="24"/>
        </w:rPr>
        <w:t xml:space="preserve"> u siječnju sljedeće godine knjižile su</w:t>
      </w:r>
      <w:r w:rsidR="009F763D">
        <w:rPr>
          <w:sz w:val="24"/>
          <w:szCs w:val="24"/>
        </w:rPr>
        <w:t xml:space="preserve"> kao prihod i</w:t>
      </w:r>
      <w:r w:rsidR="009A4246">
        <w:rPr>
          <w:sz w:val="24"/>
          <w:szCs w:val="24"/>
        </w:rPr>
        <w:t xml:space="preserve"> potraživanj</w:t>
      </w:r>
      <w:r w:rsidR="009F763D">
        <w:rPr>
          <w:sz w:val="24"/>
          <w:szCs w:val="24"/>
        </w:rPr>
        <w:t>e</w:t>
      </w:r>
      <w:r w:rsidR="009A4246">
        <w:rPr>
          <w:sz w:val="24"/>
          <w:szCs w:val="24"/>
        </w:rPr>
        <w:t xml:space="preserve"> prema nadležnom</w:t>
      </w:r>
      <w:r w:rsidR="009F763D">
        <w:rPr>
          <w:sz w:val="24"/>
          <w:szCs w:val="24"/>
        </w:rPr>
        <w:t xml:space="preserve"> </w:t>
      </w:r>
      <w:r w:rsidR="009A4246">
        <w:rPr>
          <w:sz w:val="24"/>
          <w:szCs w:val="24"/>
        </w:rPr>
        <w:t xml:space="preserve">proračunu. </w:t>
      </w:r>
      <w:r w:rsidR="009F763D">
        <w:rPr>
          <w:sz w:val="24"/>
          <w:szCs w:val="24"/>
        </w:rPr>
        <w:t xml:space="preserve"> Slijedom navedenoga došlo je do  velikog odstupanja na AOP-u 080 Ostala potraživanja. </w:t>
      </w:r>
    </w:p>
    <w:p w:rsidR="009F763D" w:rsidRDefault="009F763D" w:rsidP="00014900">
      <w:pPr>
        <w:pStyle w:val="Bezproreda"/>
        <w:rPr>
          <w:sz w:val="24"/>
          <w:szCs w:val="24"/>
        </w:rPr>
      </w:pPr>
    </w:p>
    <w:p w:rsidR="0004539D" w:rsidRDefault="009F763D" w:rsidP="00014900">
      <w:pPr>
        <w:pStyle w:val="Bezproreda"/>
        <w:rPr>
          <w:sz w:val="24"/>
          <w:szCs w:val="24"/>
        </w:rPr>
      </w:pPr>
      <w:r w:rsidRPr="0004539D">
        <w:rPr>
          <w:b/>
          <w:sz w:val="24"/>
          <w:szCs w:val="24"/>
        </w:rPr>
        <w:lastRenderedPageBreak/>
        <w:t>AOP 161 Kontinuirani rashodi budućih razdoblja</w:t>
      </w:r>
    </w:p>
    <w:p w:rsidR="009F763D" w:rsidRDefault="0004539D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Sukladno čl. 39 st.2 Pravilnika o proračunskom računovodstvu plaća </w:t>
      </w:r>
      <w:r w:rsidR="009F763D">
        <w:rPr>
          <w:sz w:val="24"/>
          <w:szCs w:val="24"/>
        </w:rPr>
        <w:t>za prosinac 2015. godine</w:t>
      </w:r>
      <w:r>
        <w:rPr>
          <w:sz w:val="24"/>
          <w:szCs w:val="24"/>
        </w:rPr>
        <w:t xml:space="preserve">  bila bi</w:t>
      </w:r>
      <w:r w:rsidR="009F763D">
        <w:rPr>
          <w:sz w:val="24"/>
          <w:szCs w:val="24"/>
        </w:rPr>
        <w:t xml:space="preserve"> 13. rashod u 2015. godini</w:t>
      </w:r>
      <w:r>
        <w:rPr>
          <w:sz w:val="24"/>
          <w:szCs w:val="24"/>
        </w:rPr>
        <w:t xml:space="preserve"> </w:t>
      </w:r>
      <w:r w:rsidR="009F763D">
        <w:rPr>
          <w:sz w:val="24"/>
          <w:szCs w:val="24"/>
        </w:rPr>
        <w:t xml:space="preserve">te ju je </w:t>
      </w:r>
      <w:r>
        <w:rPr>
          <w:sz w:val="24"/>
          <w:szCs w:val="24"/>
        </w:rPr>
        <w:t xml:space="preserve">iz tog razloga </w:t>
      </w:r>
      <w:r w:rsidR="009F763D">
        <w:rPr>
          <w:sz w:val="24"/>
          <w:szCs w:val="24"/>
        </w:rPr>
        <w:t>potrebno proknjižiti kao rashod budućeg razdoblja.</w:t>
      </w:r>
    </w:p>
    <w:p w:rsidR="0004539D" w:rsidRDefault="0004539D" w:rsidP="00014900">
      <w:pPr>
        <w:pStyle w:val="Bezproreda"/>
        <w:rPr>
          <w:sz w:val="24"/>
          <w:szCs w:val="24"/>
        </w:rPr>
      </w:pPr>
    </w:p>
    <w:p w:rsidR="0004539D" w:rsidRDefault="0004539D" w:rsidP="00014900">
      <w:pPr>
        <w:pStyle w:val="Bezproreda"/>
        <w:rPr>
          <w:sz w:val="24"/>
          <w:szCs w:val="24"/>
        </w:rPr>
      </w:pPr>
    </w:p>
    <w:p w:rsidR="0004539D" w:rsidRDefault="0004539D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Obvezne bilješke uz bilancu Dani zajmovi i primljene otplate, Primljeni krediti i zajmovi te otplate, Primljeni robni zajmovi i financijski zajmovi te Dospjele kamate na kredite i zajmove ne prikazuju se u tablicama iz razloga što ih Škola nema iskazane u bilanci. </w:t>
      </w:r>
    </w:p>
    <w:p w:rsidR="0004539D" w:rsidRDefault="0004539D" w:rsidP="00014900">
      <w:pPr>
        <w:pStyle w:val="Bezproreda"/>
        <w:rPr>
          <w:sz w:val="24"/>
          <w:szCs w:val="24"/>
        </w:rPr>
      </w:pPr>
    </w:p>
    <w:p w:rsidR="0004539D" w:rsidRDefault="0004539D" w:rsidP="00014900">
      <w:pPr>
        <w:pStyle w:val="Bezproreda"/>
        <w:rPr>
          <w:sz w:val="24"/>
          <w:szCs w:val="24"/>
        </w:rPr>
      </w:pPr>
    </w:p>
    <w:p w:rsidR="0004539D" w:rsidRDefault="0004539D" w:rsidP="00014900">
      <w:pPr>
        <w:pStyle w:val="Bezproreda"/>
        <w:rPr>
          <w:sz w:val="24"/>
          <w:szCs w:val="24"/>
        </w:rPr>
      </w:pPr>
    </w:p>
    <w:p w:rsidR="0004539D" w:rsidRPr="00D12CB3" w:rsidRDefault="004B44DC" w:rsidP="00014900">
      <w:pPr>
        <w:pStyle w:val="Bezproreda"/>
        <w:rPr>
          <w:b/>
          <w:sz w:val="28"/>
          <w:szCs w:val="28"/>
          <w:u w:val="single"/>
        </w:rPr>
      </w:pPr>
      <w:r w:rsidRPr="00D12CB3">
        <w:rPr>
          <w:b/>
          <w:sz w:val="28"/>
          <w:szCs w:val="28"/>
          <w:u w:val="single"/>
        </w:rPr>
        <w:t>BILJEŠKE UZ OBRAZAC OBVEZE</w:t>
      </w:r>
    </w:p>
    <w:p w:rsidR="004B44DC" w:rsidRDefault="004B44DC" w:rsidP="00014900">
      <w:pPr>
        <w:pStyle w:val="Bezproreda"/>
        <w:rPr>
          <w:b/>
          <w:sz w:val="24"/>
          <w:szCs w:val="24"/>
          <w:u w:val="single"/>
        </w:rPr>
      </w:pPr>
    </w:p>
    <w:p w:rsidR="004B44DC" w:rsidRDefault="004B44DC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56093D">
        <w:rPr>
          <w:b/>
          <w:sz w:val="24"/>
          <w:szCs w:val="24"/>
        </w:rPr>
        <w:t>AOP 00</w:t>
      </w:r>
      <w:r>
        <w:rPr>
          <w:sz w:val="24"/>
          <w:szCs w:val="24"/>
        </w:rPr>
        <w:t xml:space="preserve">1 predstavlja stanje obveza na početku razdoblja tj. 1. listopada 2015. godine. </w:t>
      </w:r>
    </w:p>
    <w:p w:rsidR="004B44DC" w:rsidRDefault="004B44DC" w:rsidP="00014900">
      <w:pPr>
        <w:pStyle w:val="Bezproreda"/>
        <w:rPr>
          <w:sz w:val="24"/>
          <w:szCs w:val="24"/>
        </w:rPr>
      </w:pPr>
    </w:p>
    <w:p w:rsidR="004B44DC" w:rsidRDefault="004B44DC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56093D">
        <w:rPr>
          <w:b/>
          <w:sz w:val="24"/>
          <w:szCs w:val="24"/>
        </w:rPr>
        <w:t>AOP-u 002</w:t>
      </w:r>
      <w:r>
        <w:rPr>
          <w:sz w:val="24"/>
          <w:szCs w:val="24"/>
        </w:rPr>
        <w:t xml:space="preserve"> prikazan je iznos povećanja obveza </w:t>
      </w:r>
      <w:r w:rsidR="0056093D">
        <w:rPr>
          <w:sz w:val="24"/>
          <w:szCs w:val="24"/>
        </w:rPr>
        <w:t>u razdoblju od 1. listopada do 31. prosinca 2015. godine.</w:t>
      </w:r>
    </w:p>
    <w:p w:rsidR="0056093D" w:rsidRDefault="0056093D" w:rsidP="00014900">
      <w:pPr>
        <w:pStyle w:val="Bezproreda"/>
        <w:rPr>
          <w:sz w:val="24"/>
          <w:szCs w:val="24"/>
        </w:rPr>
      </w:pPr>
    </w:p>
    <w:p w:rsidR="0056093D" w:rsidRDefault="0056093D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Na </w:t>
      </w:r>
      <w:r w:rsidRPr="0056093D">
        <w:rPr>
          <w:b/>
          <w:sz w:val="24"/>
          <w:szCs w:val="24"/>
        </w:rPr>
        <w:t>AOP-u 020</w:t>
      </w:r>
      <w:r>
        <w:rPr>
          <w:sz w:val="24"/>
          <w:szCs w:val="24"/>
        </w:rPr>
        <w:t xml:space="preserve"> prikazan je iznos svih podmirenih obveza u razdoblju od 1. listopada do 31. prosinca 2015. godine. </w:t>
      </w:r>
    </w:p>
    <w:p w:rsidR="0056093D" w:rsidRDefault="0056093D" w:rsidP="00014900">
      <w:pPr>
        <w:pStyle w:val="Bezproreda"/>
        <w:rPr>
          <w:sz w:val="24"/>
          <w:szCs w:val="24"/>
        </w:rPr>
      </w:pPr>
    </w:p>
    <w:p w:rsidR="0056093D" w:rsidRDefault="0056093D" w:rsidP="00014900">
      <w:pPr>
        <w:pStyle w:val="Bezproreda"/>
        <w:rPr>
          <w:sz w:val="24"/>
          <w:szCs w:val="24"/>
        </w:rPr>
      </w:pPr>
      <w:r w:rsidRPr="0056093D">
        <w:rPr>
          <w:b/>
          <w:sz w:val="24"/>
          <w:szCs w:val="24"/>
        </w:rPr>
        <w:t>AOP 038</w:t>
      </w:r>
      <w:r>
        <w:rPr>
          <w:sz w:val="24"/>
          <w:szCs w:val="24"/>
        </w:rPr>
        <w:t xml:space="preserve"> predstavlja stanje obveza na kraju izvještajnog razdoblja 31. prosinca 2015. godine.</w:t>
      </w:r>
    </w:p>
    <w:p w:rsidR="0056093D" w:rsidRDefault="0056093D" w:rsidP="00014900">
      <w:pPr>
        <w:pStyle w:val="Bezproreda"/>
        <w:rPr>
          <w:sz w:val="24"/>
          <w:szCs w:val="24"/>
        </w:rPr>
      </w:pPr>
    </w:p>
    <w:p w:rsidR="0056093D" w:rsidRDefault="0056093D" w:rsidP="00014900">
      <w:pPr>
        <w:pStyle w:val="Bezproreda"/>
        <w:rPr>
          <w:sz w:val="24"/>
          <w:szCs w:val="24"/>
        </w:rPr>
      </w:pPr>
      <w:r w:rsidRPr="0056093D">
        <w:rPr>
          <w:b/>
          <w:sz w:val="24"/>
          <w:szCs w:val="24"/>
        </w:rPr>
        <w:t xml:space="preserve">AOP 097 Stanje nedospjelih obveza na kraju izvještajnog razdoblja </w:t>
      </w:r>
      <w:r>
        <w:rPr>
          <w:sz w:val="24"/>
          <w:szCs w:val="24"/>
        </w:rPr>
        <w:t>sastoji se od:</w:t>
      </w:r>
    </w:p>
    <w:p w:rsidR="0056093D" w:rsidRDefault="003A3BE2" w:rsidP="0056093D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231 </w:t>
      </w:r>
      <w:r w:rsidR="0056093D">
        <w:rPr>
          <w:sz w:val="24"/>
          <w:szCs w:val="24"/>
        </w:rPr>
        <w:t xml:space="preserve">Obveze za zaposlene u iznosu </w:t>
      </w:r>
      <w:r w:rsidR="00A16600">
        <w:rPr>
          <w:sz w:val="24"/>
          <w:szCs w:val="24"/>
        </w:rPr>
        <w:t xml:space="preserve">248.904,47 kn </w:t>
      </w:r>
      <w:r w:rsidR="0056093D">
        <w:rPr>
          <w:sz w:val="24"/>
          <w:szCs w:val="24"/>
        </w:rPr>
        <w:t xml:space="preserve">(plaća za zaposlenike za </w:t>
      </w:r>
      <w:r w:rsidR="00A16600">
        <w:rPr>
          <w:sz w:val="24"/>
          <w:szCs w:val="24"/>
        </w:rPr>
        <w:t>prosinac 2</w:t>
      </w:r>
      <w:r w:rsidR="0056093D">
        <w:rPr>
          <w:sz w:val="24"/>
          <w:szCs w:val="24"/>
        </w:rPr>
        <w:t>015</w:t>
      </w:r>
      <w:r w:rsidR="00A16600">
        <w:rPr>
          <w:sz w:val="24"/>
          <w:szCs w:val="24"/>
        </w:rPr>
        <w:t>. u iznosu  245.241,96 kn</w:t>
      </w:r>
      <w:r w:rsidR="0056093D">
        <w:rPr>
          <w:sz w:val="24"/>
          <w:szCs w:val="24"/>
        </w:rPr>
        <w:t xml:space="preserve"> i plaća za pomoćnika u nastavi za </w:t>
      </w:r>
      <w:r w:rsidR="00A16600">
        <w:rPr>
          <w:sz w:val="24"/>
          <w:szCs w:val="24"/>
        </w:rPr>
        <w:t>prosinac 2</w:t>
      </w:r>
      <w:r w:rsidR="0056093D">
        <w:rPr>
          <w:sz w:val="24"/>
          <w:szCs w:val="24"/>
        </w:rPr>
        <w:t>015</w:t>
      </w:r>
      <w:r w:rsidR="00A16600">
        <w:rPr>
          <w:sz w:val="24"/>
          <w:szCs w:val="24"/>
        </w:rPr>
        <w:t>. u iznosu 3.662,51 kn</w:t>
      </w:r>
      <w:r>
        <w:rPr>
          <w:sz w:val="24"/>
          <w:szCs w:val="24"/>
        </w:rPr>
        <w:t xml:space="preserve"> isplaćene u siječnju 2016. godine</w:t>
      </w:r>
      <w:r w:rsidR="0056093D">
        <w:rPr>
          <w:sz w:val="24"/>
          <w:szCs w:val="24"/>
        </w:rPr>
        <w:t>)</w:t>
      </w:r>
    </w:p>
    <w:p w:rsidR="003A3BE2" w:rsidRDefault="003A3BE2" w:rsidP="003A3BE2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232 </w:t>
      </w:r>
      <w:r w:rsidR="0056093D">
        <w:rPr>
          <w:sz w:val="24"/>
          <w:szCs w:val="24"/>
        </w:rPr>
        <w:t>Obveze za materijalne rashode u</w:t>
      </w:r>
      <w:r w:rsidR="00A16600">
        <w:rPr>
          <w:sz w:val="24"/>
          <w:szCs w:val="24"/>
        </w:rPr>
        <w:t xml:space="preserve"> ukupnom</w:t>
      </w:r>
      <w:r w:rsidR="0056093D">
        <w:rPr>
          <w:sz w:val="24"/>
          <w:szCs w:val="24"/>
        </w:rPr>
        <w:t xml:space="preserve"> iznosu </w:t>
      </w:r>
      <w:r w:rsidR="00A16600">
        <w:rPr>
          <w:sz w:val="24"/>
          <w:szCs w:val="24"/>
        </w:rPr>
        <w:t>od 196.346</w:t>
      </w:r>
      <w:r>
        <w:rPr>
          <w:sz w:val="24"/>
          <w:szCs w:val="24"/>
        </w:rPr>
        <w:t>,15 kn koje se odnose</w:t>
      </w:r>
      <w:r w:rsidR="00A16600" w:rsidRPr="003A3BE2">
        <w:rPr>
          <w:sz w:val="24"/>
          <w:szCs w:val="24"/>
        </w:rPr>
        <w:t xml:space="preserve"> na: </w:t>
      </w:r>
    </w:p>
    <w:p w:rsidR="0056093D" w:rsidRDefault="003A3BE2" w:rsidP="003A3BE2">
      <w:pPr>
        <w:pStyle w:val="Bezproreda"/>
        <w:numPr>
          <w:ilvl w:val="0"/>
          <w:numId w:val="3"/>
        </w:numPr>
        <w:rPr>
          <w:sz w:val="24"/>
          <w:szCs w:val="24"/>
        </w:rPr>
      </w:pPr>
      <w:r w:rsidRPr="003A3BE2">
        <w:rPr>
          <w:sz w:val="24"/>
          <w:szCs w:val="24"/>
        </w:rPr>
        <w:t xml:space="preserve">Prijevoz za zaposlenike za mjesec prosinac 2015. u iznosu od </w:t>
      </w:r>
      <w:r w:rsidR="00A16600" w:rsidRPr="003A3BE2">
        <w:rPr>
          <w:sz w:val="24"/>
          <w:szCs w:val="24"/>
        </w:rPr>
        <w:t>15.818,23 kn te</w:t>
      </w:r>
      <w:r>
        <w:rPr>
          <w:sz w:val="24"/>
          <w:szCs w:val="24"/>
        </w:rPr>
        <w:t xml:space="preserve"> </w:t>
      </w:r>
      <w:r w:rsidRPr="003A3BE2">
        <w:rPr>
          <w:sz w:val="24"/>
          <w:szCs w:val="24"/>
        </w:rPr>
        <w:t xml:space="preserve"> prijevoz za mjesec </w:t>
      </w:r>
      <w:r>
        <w:rPr>
          <w:sz w:val="24"/>
          <w:szCs w:val="24"/>
        </w:rPr>
        <w:t>prosinac za pomoćnika u nastavi u iznosu od 602,00 kn koji su isplaćeni u siječnju 2016. godine.</w:t>
      </w:r>
    </w:p>
    <w:p w:rsidR="003A3BE2" w:rsidRDefault="003A3BE2" w:rsidP="003A3BE2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Naknada za nezapošljavanje invalida u iznosu 908,87 kn isplaćena u siječnju 2016. godine.</w:t>
      </w:r>
    </w:p>
    <w:p w:rsidR="003A3BE2" w:rsidRPr="003A3BE2" w:rsidRDefault="003A3BE2" w:rsidP="003A3BE2">
      <w:pPr>
        <w:pStyle w:val="Bezproreda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Ostale materijalne rashode (rashodi za usluge, m</w:t>
      </w:r>
      <w:r w:rsidR="006139B2">
        <w:rPr>
          <w:sz w:val="24"/>
          <w:szCs w:val="24"/>
        </w:rPr>
        <w:t xml:space="preserve">aterijal, pristojbe i naknade, </w:t>
      </w:r>
      <w:r>
        <w:rPr>
          <w:sz w:val="24"/>
          <w:szCs w:val="24"/>
        </w:rPr>
        <w:t xml:space="preserve">energiju i doprinose za stručno osposobljavanje za prosinac) u iznosu </w:t>
      </w:r>
      <w:r w:rsidR="006139B2">
        <w:rPr>
          <w:sz w:val="24"/>
          <w:szCs w:val="24"/>
        </w:rPr>
        <w:t xml:space="preserve">179.017,05 kn s dospijećem plaćanja u siječnju 2016. godine. </w:t>
      </w:r>
    </w:p>
    <w:p w:rsidR="0056093D" w:rsidRDefault="00242683" w:rsidP="0056093D">
      <w:pPr>
        <w:pStyle w:val="Bezprored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234 </w:t>
      </w:r>
      <w:r w:rsidR="00A16600">
        <w:rPr>
          <w:sz w:val="24"/>
          <w:szCs w:val="24"/>
        </w:rPr>
        <w:t>Obveze za financijske rashode u iznosu 286,27 kn s dospijećem plaćanja u siječnju 2016. godine</w:t>
      </w:r>
      <w:r w:rsidR="006139B2">
        <w:rPr>
          <w:sz w:val="24"/>
          <w:szCs w:val="24"/>
        </w:rPr>
        <w:t xml:space="preserve">. </w:t>
      </w:r>
    </w:p>
    <w:p w:rsidR="006139B2" w:rsidRDefault="006139B2" w:rsidP="006139B2">
      <w:pPr>
        <w:pStyle w:val="Bezproreda"/>
        <w:rPr>
          <w:sz w:val="24"/>
          <w:szCs w:val="24"/>
        </w:rPr>
      </w:pPr>
    </w:p>
    <w:p w:rsidR="006139B2" w:rsidRDefault="006139B2" w:rsidP="006139B2">
      <w:pPr>
        <w:pStyle w:val="Bezproreda"/>
        <w:rPr>
          <w:sz w:val="24"/>
          <w:szCs w:val="24"/>
        </w:rPr>
      </w:pPr>
    </w:p>
    <w:p w:rsidR="006139B2" w:rsidRDefault="006139B2" w:rsidP="006139B2">
      <w:pPr>
        <w:pStyle w:val="Bezproreda"/>
        <w:rPr>
          <w:sz w:val="24"/>
          <w:szCs w:val="24"/>
        </w:rPr>
      </w:pPr>
    </w:p>
    <w:p w:rsidR="006139B2" w:rsidRDefault="006139B2" w:rsidP="006139B2">
      <w:pPr>
        <w:pStyle w:val="Bezproreda"/>
        <w:rPr>
          <w:sz w:val="24"/>
          <w:szCs w:val="24"/>
        </w:rPr>
      </w:pPr>
    </w:p>
    <w:p w:rsidR="006139B2" w:rsidRDefault="006139B2" w:rsidP="006139B2">
      <w:pPr>
        <w:pStyle w:val="Bezproreda"/>
        <w:rPr>
          <w:sz w:val="24"/>
          <w:szCs w:val="24"/>
        </w:rPr>
      </w:pPr>
    </w:p>
    <w:p w:rsidR="006139B2" w:rsidRDefault="006139B2" w:rsidP="006139B2">
      <w:pPr>
        <w:pStyle w:val="Bezproreda"/>
        <w:rPr>
          <w:sz w:val="24"/>
          <w:szCs w:val="24"/>
        </w:rPr>
      </w:pPr>
    </w:p>
    <w:p w:rsidR="006139B2" w:rsidRDefault="006139B2" w:rsidP="006139B2">
      <w:pPr>
        <w:pStyle w:val="Bezproreda"/>
        <w:rPr>
          <w:sz w:val="24"/>
          <w:szCs w:val="24"/>
        </w:rPr>
      </w:pPr>
    </w:p>
    <w:p w:rsidR="006139B2" w:rsidRPr="00D12CB3" w:rsidRDefault="006139B2" w:rsidP="006139B2">
      <w:pPr>
        <w:pStyle w:val="Bezproreda"/>
        <w:rPr>
          <w:b/>
          <w:sz w:val="28"/>
          <w:szCs w:val="28"/>
          <w:u w:val="single"/>
        </w:rPr>
      </w:pPr>
      <w:r w:rsidRPr="00D12CB3">
        <w:rPr>
          <w:b/>
          <w:sz w:val="28"/>
          <w:szCs w:val="28"/>
          <w:u w:val="single"/>
        </w:rPr>
        <w:lastRenderedPageBreak/>
        <w:t>BILJEŠKE UZ OBRAZAC PR-RAS</w:t>
      </w:r>
    </w:p>
    <w:p w:rsidR="006139B2" w:rsidRDefault="006139B2" w:rsidP="006139B2">
      <w:pPr>
        <w:pStyle w:val="Bezproreda"/>
        <w:rPr>
          <w:b/>
          <w:sz w:val="24"/>
          <w:szCs w:val="24"/>
          <w:u w:val="single"/>
        </w:rPr>
      </w:pPr>
    </w:p>
    <w:p w:rsidR="006139B2" w:rsidRDefault="006139B2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Ukupni prihodi i primici iznose 3.845.596 kn</w:t>
      </w:r>
    </w:p>
    <w:p w:rsidR="006139B2" w:rsidRDefault="006139B2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Ukupni rashodi i izdaci iznose 3.987.207 kn </w:t>
      </w:r>
    </w:p>
    <w:p w:rsidR="006139B2" w:rsidRDefault="006139B2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Manjak prihoda i primitaka iznosi 141.611 kn </w:t>
      </w:r>
    </w:p>
    <w:p w:rsidR="006139B2" w:rsidRDefault="006139B2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Preneseni višak prihoda i primitaka iznosi 19.654 kn </w:t>
      </w:r>
    </w:p>
    <w:p w:rsidR="006139B2" w:rsidRDefault="006139B2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Manjak prihoda i primitaka za pokriće u sljedećem razdoblju iznosi 121.957 kn </w:t>
      </w:r>
    </w:p>
    <w:p w:rsidR="00A41073" w:rsidRDefault="00A41073" w:rsidP="006139B2">
      <w:pPr>
        <w:pStyle w:val="Bezproreda"/>
        <w:rPr>
          <w:sz w:val="24"/>
          <w:szCs w:val="24"/>
        </w:rPr>
      </w:pPr>
    </w:p>
    <w:p w:rsidR="00A41073" w:rsidRDefault="00A41073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Proračunski korisnici jedinica lokalne i područne (regionalne) samouprave u svojim glavnim knjigama iskazuju rashode na temelju nastanka</w:t>
      </w:r>
      <w:r w:rsidR="00242683">
        <w:rPr>
          <w:sz w:val="24"/>
          <w:szCs w:val="24"/>
        </w:rPr>
        <w:t xml:space="preserve"> poslovnog događaja (obveza) i u iz</w:t>
      </w:r>
      <w:r>
        <w:rPr>
          <w:sz w:val="24"/>
          <w:szCs w:val="24"/>
        </w:rPr>
        <w:t>vještajnom razdoblju na koje se odnose, neovisno o plaćanju. Dakle, proračunski korisnik obvezan je iskazati rashode 2015. godine za obveze koje su nastale u 2015. godini bez obzira jesu li navedene obveze podmirene u 2015. godini i bez obzira je li nadležni proračun doznačio sredstva za podmirenje navedenih obveza u 2015. godini. Iz svega navedenoga proizlazi da korisnici decentraliziranih sredstava po ovoj osnovi imaju metodološki manjak koji proizlazi iz primjene modificiranog načela nastanka događaja.</w:t>
      </w:r>
    </w:p>
    <w:p w:rsidR="00B738F4" w:rsidRDefault="00B738F4" w:rsidP="006139B2">
      <w:pPr>
        <w:pStyle w:val="Bezproreda"/>
        <w:rPr>
          <w:sz w:val="24"/>
          <w:szCs w:val="24"/>
        </w:rPr>
      </w:pPr>
    </w:p>
    <w:p w:rsidR="00D07012" w:rsidRDefault="00B738F4" w:rsidP="006139B2">
      <w:pPr>
        <w:pStyle w:val="Bezproreda"/>
        <w:rPr>
          <w:b/>
          <w:sz w:val="24"/>
          <w:szCs w:val="24"/>
        </w:rPr>
      </w:pPr>
      <w:r w:rsidRPr="00B738F4">
        <w:rPr>
          <w:b/>
          <w:sz w:val="24"/>
          <w:szCs w:val="24"/>
        </w:rPr>
        <w:t>AOP 102 Prihodi od upravnih i administrativnih pristojbi, pristojbi po posebnim propisima i naknada</w:t>
      </w:r>
    </w:p>
    <w:p w:rsidR="00B738F4" w:rsidRDefault="00D07012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</w:t>
      </w:r>
      <w:r w:rsidR="00B738F4">
        <w:rPr>
          <w:sz w:val="24"/>
          <w:szCs w:val="24"/>
        </w:rPr>
        <w:t xml:space="preserve">ošlo je do </w:t>
      </w:r>
      <w:r w:rsidR="001F248F">
        <w:rPr>
          <w:sz w:val="24"/>
          <w:szCs w:val="24"/>
        </w:rPr>
        <w:t>većeg odstupanja od ostvarenja u izvještajnom razdoblju prethodne godine zbog knjiženja prihoda od Zavoda za zapošljavanje za stručno osposobljavanje.</w:t>
      </w:r>
      <w:r>
        <w:rPr>
          <w:sz w:val="24"/>
          <w:szCs w:val="24"/>
        </w:rPr>
        <w:t xml:space="preserve"> </w:t>
      </w:r>
      <w:r w:rsidR="001F248F">
        <w:rPr>
          <w:sz w:val="24"/>
          <w:szCs w:val="24"/>
        </w:rPr>
        <w:t>Prema uputi sva sredstva primljena do 31.12.2015. godine trebala su se iskazati kao prihod 2015. godine bez iskazivanja na vremenskim razgraničenjima dijela koji se odnosi na 2016. godinu.</w:t>
      </w:r>
    </w:p>
    <w:p w:rsidR="00D07012" w:rsidRDefault="00D07012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Do većeg odstupanja došlo je i zbog dva prolaska na natječaju  Zaklade Slagalica. </w:t>
      </w:r>
    </w:p>
    <w:p w:rsidR="00D07012" w:rsidRDefault="00D07012" w:rsidP="006139B2">
      <w:pPr>
        <w:pStyle w:val="Bezproreda"/>
        <w:rPr>
          <w:sz w:val="24"/>
          <w:szCs w:val="24"/>
        </w:rPr>
      </w:pPr>
    </w:p>
    <w:p w:rsidR="00D07012" w:rsidRDefault="00D07012" w:rsidP="006139B2">
      <w:pPr>
        <w:pStyle w:val="Bezproreda"/>
        <w:rPr>
          <w:b/>
          <w:sz w:val="24"/>
          <w:szCs w:val="24"/>
        </w:rPr>
      </w:pPr>
      <w:r w:rsidRPr="00D07012">
        <w:rPr>
          <w:b/>
          <w:sz w:val="24"/>
          <w:szCs w:val="24"/>
        </w:rPr>
        <w:t xml:space="preserve">AOP 126 Kapitalne donacije </w:t>
      </w:r>
    </w:p>
    <w:p w:rsidR="00D07012" w:rsidRDefault="00D07012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Došlo je do većeg odstupanja od ostvarenja u izvještajnom razdoblju prethodne godine zbog</w:t>
      </w:r>
      <w:r>
        <w:rPr>
          <w:sz w:val="24"/>
          <w:szCs w:val="24"/>
        </w:rPr>
        <w:t xml:space="preserve"> većeg iznosa kapitalne donacije tvrtke HEP.</w:t>
      </w:r>
    </w:p>
    <w:p w:rsidR="00D07012" w:rsidRDefault="00D07012" w:rsidP="006139B2">
      <w:pPr>
        <w:pStyle w:val="Bezproreda"/>
        <w:rPr>
          <w:sz w:val="24"/>
          <w:szCs w:val="24"/>
        </w:rPr>
      </w:pPr>
    </w:p>
    <w:p w:rsidR="00D07012" w:rsidRDefault="00D07012" w:rsidP="006139B2">
      <w:pPr>
        <w:pStyle w:val="Bezproreda"/>
        <w:rPr>
          <w:b/>
          <w:sz w:val="24"/>
          <w:szCs w:val="24"/>
        </w:rPr>
      </w:pPr>
      <w:r w:rsidRPr="00D07012">
        <w:rPr>
          <w:b/>
          <w:sz w:val="24"/>
          <w:szCs w:val="24"/>
        </w:rPr>
        <w:t>AOP 129 Prihodi iz nadležnog proračuna</w:t>
      </w:r>
    </w:p>
    <w:p w:rsidR="00D07012" w:rsidRDefault="00D07012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Došlo je do većeg odstupanja od ostvarenja u izvještajnom razdoblju prethodne godine</w:t>
      </w:r>
      <w:r>
        <w:rPr>
          <w:sz w:val="24"/>
          <w:szCs w:val="24"/>
        </w:rPr>
        <w:t xml:space="preserve"> iz razloga što više nema odstupanja od primjene gotovinskog načela priznavanja prihoda. Do ove godine Škole su prihode za prethodnu godinu dobivene u siječnju knjižile kao </w:t>
      </w:r>
      <w:r w:rsidR="00B07E36">
        <w:rPr>
          <w:sz w:val="24"/>
          <w:szCs w:val="24"/>
        </w:rPr>
        <w:t>prihod prethodne godine. Od 2015. godine više nema odstupanja.</w:t>
      </w:r>
    </w:p>
    <w:p w:rsidR="00D12CB3" w:rsidRDefault="00D12CB3" w:rsidP="00D12CB3">
      <w:pPr>
        <w:pStyle w:val="Bezproreda"/>
        <w:rPr>
          <w:sz w:val="24"/>
          <w:szCs w:val="24"/>
        </w:rPr>
      </w:pPr>
    </w:p>
    <w:p w:rsidR="00D12CB3" w:rsidRPr="00D12CB3" w:rsidRDefault="00D12CB3" w:rsidP="00D12CB3">
      <w:pPr>
        <w:pStyle w:val="Bezproreda"/>
        <w:rPr>
          <w:sz w:val="26"/>
          <w:szCs w:val="26"/>
        </w:rPr>
      </w:pPr>
      <w:r w:rsidRPr="00D12CB3">
        <w:rPr>
          <w:sz w:val="26"/>
          <w:szCs w:val="26"/>
        </w:rPr>
        <w:t>Prihodi iz nadležnog proračuna za financiranje rashoda poslovanja</w:t>
      </w:r>
      <w:r w:rsidRPr="00D12CB3">
        <w:rPr>
          <w:b/>
          <w:sz w:val="26"/>
          <w:szCs w:val="26"/>
        </w:rPr>
        <w:t xml:space="preserve"> </w:t>
      </w:r>
      <w:r w:rsidRPr="00D12CB3">
        <w:rPr>
          <w:sz w:val="26"/>
          <w:szCs w:val="26"/>
        </w:rPr>
        <w:t xml:space="preserve">sastoje se od: </w:t>
      </w:r>
    </w:p>
    <w:p w:rsidR="00D12CB3" w:rsidRPr="00D12CB3" w:rsidRDefault="00D12CB3" w:rsidP="00D12CB3">
      <w:pPr>
        <w:pStyle w:val="Bezproreda"/>
        <w:numPr>
          <w:ilvl w:val="0"/>
          <w:numId w:val="5"/>
        </w:numPr>
        <w:rPr>
          <w:sz w:val="26"/>
          <w:szCs w:val="26"/>
        </w:rPr>
      </w:pPr>
      <w:r w:rsidRPr="00D12CB3">
        <w:rPr>
          <w:sz w:val="26"/>
          <w:szCs w:val="26"/>
        </w:rPr>
        <w:t>Redovno poslovanje u iznosu 343.611,34 kn (Konto 671111)</w:t>
      </w:r>
    </w:p>
    <w:p w:rsidR="00D12CB3" w:rsidRPr="00D12CB3" w:rsidRDefault="00D12CB3" w:rsidP="00D12CB3">
      <w:pPr>
        <w:pStyle w:val="Bezproreda"/>
        <w:numPr>
          <w:ilvl w:val="0"/>
          <w:numId w:val="5"/>
        </w:numPr>
        <w:rPr>
          <w:sz w:val="26"/>
          <w:szCs w:val="26"/>
        </w:rPr>
      </w:pPr>
      <w:r w:rsidRPr="00D12CB3">
        <w:rPr>
          <w:sz w:val="26"/>
          <w:szCs w:val="26"/>
        </w:rPr>
        <w:t xml:space="preserve">Ostalo (natjecanja i </w:t>
      </w:r>
      <w:proofErr w:type="spellStart"/>
      <w:r w:rsidRPr="00D12CB3">
        <w:rPr>
          <w:sz w:val="26"/>
          <w:szCs w:val="26"/>
        </w:rPr>
        <w:t>predškola</w:t>
      </w:r>
      <w:proofErr w:type="spellEnd"/>
      <w:r w:rsidRPr="00D12CB3">
        <w:rPr>
          <w:sz w:val="26"/>
          <w:szCs w:val="26"/>
        </w:rPr>
        <w:t>) u iznosu 5.203,00 kn (Konto 671112)</w:t>
      </w:r>
    </w:p>
    <w:p w:rsidR="00D12CB3" w:rsidRPr="00D12CB3" w:rsidRDefault="00D12CB3" w:rsidP="00D12CB3">
      <w:pPr>
        <w:pStyle w:val="Bezproreda"/>
        <w:numPr>
          <w:ilvl w:val="0"/>
          <w:numId w:val="5"/>
        </w:numPr>
        <w:rPr>
          <w:sz w:val="26"/>
          <w:szCs w:val="26"/>
        </w:rPr>
      </w:pPr>
      <w:r w:rsidRPr="00D12CB3">
        <w:rPr>
          <w:sz w:val="26"/>
          <w:szCs w:val="26"/>
        </w:rPr>
        <w:t>Pomoćnik u nastavi u iznosu 8.529,02 kn (Konto 671113)</w:t>
      </w:r>
    </w:p>
    <w:p w:rsidR="00D12CB3" w:rsidRDefault="00D12CB3" w:rsidP="00D12CB3">
      <w:pPr>
        <w:pStyle w:val="Bezproreda"/>
        <w:rPr>
          <w:sz w:val="24"/>
          <w:szCs w:val="24"/>
        </w:rPr>
      </w:pPr>
    </w:p>
    <w:p w:rsidR="00D12CB3" w:rsidRDefault="00D12CB3" w:rsidP="00D12CB3">
      <w:pPr>
        <w:pStyle w:val="Bezproreda"/>
        <w:rPr>
          <w:sz w:val="24"/>
          <w:szCs w:val="24"/>
        </w:rPr>
      </w:pPr>
    </w:p>
    <w:p w:rsidR="00B07E36" w:rsidRPr="00B07E36" w:rsidRDefault="00B07E36" w:rsidP="006139B2">
      <w:pPr>
        <w:pStyle w:val="Bezproreda"/>
        <w:rPr>
          <w:b/>
          <w:sz w:val="24"/>
          <w:szCs w:val="24"/>
        </w:rPr>
      </w:pPr>
      <w:r w:rsidRPr="00B07E36">
        <w:rPr>
          <w:b/>
          <w:sz w:val="24"/>
          <w:szCs w:val="24"/>
        </w:rPr>
        <w:t>AOP 164 Stručno usavršavanje zaposlenika</w:t>
      </w:r>
    </w:p>
    <w:p w:rsidR="006139B2" w:rsidRDefault="00B738F4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7E36">
        <w:rPr>
          <w:sz w:val="24"/>
          <w:szCs w:val="24"/>
        </w:rPr>
        <w:t>Došlo je do većeg odstupanja od ostvarenja u izvještajnom razdoblju prethodne godine</w:t>
      </w:r>
      <w:r w:rsidR="00B07E36">
        <w:rPr>
          <w:sz w:val="24"/>
          <w:szCs w:val="24"/>
        </w:rPr>
        <w:t xml:space="preserve"> iz razloga što je bilo manje stručnog osposobljavanja na državnoj razini.</w:t>
      </w:r>
    </w:p>
    <w:p w:rsidR="00B07E36" w:rsidRDefault="00B07E36" w:rsidP="006139B2">
      <w:pPr>
        <w:pStyle w:val="Bezproreda"/>
        <w:rPr>
          <w:sz w:val="24"/>
          <w:szCs w:val="24"/>
        </w:rPr>
      </w:pPr>
    </w:p>
    <w:p w:rsidR="00242683" w:rsidRDefault="00242683" w:rsidP="006139B2">
      <w:pPr>
        <w:pStyle w:val="Bezproreda"/>
        <w:rPr>
          <w:b/>
          <w:sz w:val="24"/>
          <w:szCs w:val="24"/>
        </w:rPr>
      </w:pPr>
    </w:p>
    <w:p w:rsidR="00242683" w:rsidRDefault="00242683" w:rsidP="006139B2">
      <w:pPr>
        <w:pStyle w:val="Bezproreda"/>
        <w:rPr>
          <w:b/>
          <w:sz w:val="24"/>
          <w:szCs w:val="24"/>
        </w:rPr>
      </w:pPr>
    </w:p>
    <w:p w:rsidR="00B07E36" w:rsidRDefault="00B07E36" w:rsidP="006139B2">
      <w:pPr>
        <w:pStyle w:val="Bezproreda"/>
        <w:rPr>
          <w:b/>
          <w:sz w:val="24"/>
          <w:szCs w:val="24"/>
        </w:rPr>
      </w:pPr>
      <w:r w:rsidRPr="00B07E36">
        <w:rPr>
          <w:b/>
          <w:sz w:val="24"/>
          <w:szCs w:val="24"/>
        </w:rPr>
        <w:t>AOP 170 Materijal i dijelovi za tekuće i investicijsko održavanje</w:t>
      </w:r>
    </w:p>
    <w:p w:rsidR="00B07E36" w:rsidRDefault="00B07E36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Došlo je do većeg odstupanja od ostvarenja u izvještajnom razdoblju prethodne godine iz</w:t>
      </w:r>
      <w:r>
        <w:rPr>
          <w:sz w:val="24"/>
          <w:szCs w:val="24"/>
        </w:rPr>
        <w:t xml:space="preserve"> razloga što je Škola u odnosu na prethodnu godinu sređenija i opremljenija te nema više puno dodatnog održavanja. </w:t>
      </w:r>
    </w:p>
    <w:p w:rsidR="00B07E36" w:rsidRDefault="00B07E36" w:rsidP="006139B2">
      <w:pPr>
        <w:pStyle w:val="Bezproreda"/>
        <w:rPr>
          <w:sz w:val="24"/>
          <w:szCs w:val="24"/>
        </w:rPr>
      </w:pPr>
    </w:p>
    <w:p w:rsidR="00B07E36" w:rsidRPr="0059491A" w:rsidRDefault="00B07E36" w:rsidP="006139B2">
      <w:pPr>
        <w:pStyle w:val="Bezproreda"/>
        <w:rPr>
          <w:b/>
          <w:sz w:val="24"/>
          <w:szCs w:val="24"/>
        </w:rPr>
      </w:pPr>
      <w:r w:rsidRPr="0059491A">
        <w:rPr>
          <w:b/>
          <w:sz w:val="24"/>
          <w:szCs w:val="24"/>
        </w:rPr>
        <w:t>AOP 183</w:t>
      </w:r>
      <w:r w:rsidR="0059491A" w:rsidRPr="0059491A">
        <w:rPr>
          <w:b/>
          <w:sz w:val="24"/>
          <w:szCs w:val="24"/>
        </w:rPr>
        <w:t xml:space="preserve"> Ostale usluge</w:t>
      </w:r>
    </w:p>
    <w:p w:rsidR="00B07E36" w:rsidRDefault="0059491A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Došlo je do većeg odstupanja od ostvarenja u izvještajnom razdoblju prethodne godine</w:t>
      </w:r>
      <w:r>
        <w:rPr>
          <w:sz w:val="24"/>
          <w:szCs w:val="24"/>
        </w:rPr>
        <w:t xml:space="preserve"> zbog nastanka troška naknade za energetsku uslugu. </w:t>
      </w:r>
    </w:p>
    <w:p w:rsidR="0059491A" w:rsidRDefault="0059491A" w:rsidP="006139B2">
      <w:pPr>
        <w:pStyle w:val="Bezproreda"/>
        <w:rPr>
          <w:sz w:val="24"/>
          <w:szCs w:val="24"/>
        </w:rPr>
      </w:pPr>
    </w:p>
    <w:p w:rsidR="00D12CB3" w:rsidRDefault="00D12CB3" w:rsidP="006139B2">
      <w:pPr>
        <w:pStyle w:val="Bezproreda"/>
        <w:rPr>
          <w:b/>
          <w:sz w:val="24"/>
          <w:szCs w:val="24"/>
        </w:rPr>
      </w:pPr>
    </w:p>
    <w:p w:rsidR="0059491A" w:rsidRPr="0059491A" w:rsidRDefault="0059491A" w:rsidP="006139B2">
      <w:pPr>
        <w:pStyle w:val="Bezproreda"/>
        <w:rPr>
          <w:b/>
          <w:sz w:val="24"/>
          <w:szCs w:val="24"/>
        </w:rPr>
      </w:pPr>
      <w:r w:rsidRPr="0059491A">
        <w:rPr>
          <w:b/>
          <w:sz w:val="24"/>
          <w:szCs w:val="24"/>
        </w:rPr>
        <w:t>AOP 185 Naknade troškova osobama izvan radnog odnosa</w:t>
      </w:r>
    </w:p>
    <w:p w:rsidR="00B07E36" w:rsidRDefault="0059491A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Došlo je do većeg odstupanja od ostvarenja u izvještajnom razdoblju prethodne godine</w:t>
      </w:r>
      <w:r>
        <w:rPr>
          <w:sz w:val="24"/>
          <w:szCs w:val="24"/>
        </w:rPr>
        <w:t xml:space="preserve"> iz razloga što je Škola na stručnom osposobljavanju imala jednu zaposlenicu više. </w:t>
      </w:r>
    </w:p>
    <w:p w:rsidR="00D12CB3" w:rsidRDefault="00D12CB3" w:rsidP="006139B2">
      <w:pPr>
        <w:pStyle w:val="Bezproreda"/>
        <w:rPr>
          <w:b/>
          <w:sz w:val="24"/>
          <w:szCs w:val="24"/>
        </w:rPr>
      </w:pPr>
    </w:p>
    <w:p w:rsidR="00D12CB3" w:rsidRDefault="00D12CB3" w:rsidP="006139B2">
      <w:pPr>
        <w:pStyle w:val="Bezproreda"/>
        <w:rPr>
          <w:b/>
          <w:sz w:val="24"/>
          <w:szCs w:val="24"/>
        </w:rPr>
      </w:pPr>
    </w:p>
    <w:p w:rsidR="0059491A" w:rsidRDefault="0059491A" w:rsidP="006139B2">
      <w:pPr>
        <w:pStyle w:val="Bezproreda"/>
        <w:rPr>
          <w:b/>
          <w:sz w:val="24"/>
          <w:szCs w:val="24"/>
        </w:rPr>
      </w:pPr>
      <w:r w:rsidRPr="0059491A">
        <w:rPr>
          <w:b/>
          <w:sz w:val="24"/>
          <w:szCs w:val="24"/>
        </w:rPr>
        <w:t xml:space="preserve">AOP 191 Pristojbe i naknade </w:t>
      </w:r>
    </w:p>
    <w:p w:rsidR="00D12CB3" w:rsidRDefault="0059491A" w:rsidP="00D12CB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Došlo je do većeg odstupanja od ostvarenja u izvještajnom razdoblju prethodne godine iz</w:t>
      </w:r>
      <w:r>
        <w:rPr>
          <w:sz w:val="24"/>
          <w:szCs w:val="24"/>
        </w:rPr>
        <w:t xml:space="preserve"> </w:t>
      </w:r>
      <w:r w:rsidR="00D12CB3">
        <w:rPr>
          <w:sz w:val="24"/>
          <w:szCs w:val="24"/>
        </w:rPr>
        <w:t>r</w:t>
      </w:r>
      <w:r w:rsidR="00D12CB3">
        <w:rPr>
          <w:sz w:val="24"/>
          <w:szCs w:val="24"/>
        </w:rPr>
        <w:t xml:space="preserve">azloga što je uvedena nova naknada </w:t>
      </w:r>
      <w:r w:rsidR="00D12CB3">
        <w:rPr>
          <w:sz w:val="24"/>
          <w:szCs w:val="24"/>
        </w:rPr>
        <w:t>za nezapošljavanje invalida.</w:t>
      </w:r>
    </w:p>
    <w:p w:rsidR="00D12CB3" w:rsidRDefault="00D12CB3" w:rsidP="00D12CB3">
      <w:pPr>
        <w:pStyle w:val="Bezproreda"/>
        <w:rPr>
          <w:b/>
          <w:sz w:val="24"/>
          <w:szCs w:val="24"/>
        </w:rPr>
      </w:pPr>
    </w:p>
    <w:p w:rsidR="00D12CB3" w:rsidRDefault="00D12CB3" w:rsidP="00D12CB3">
      <w:pPr>
        <w:pStyle w:val="Bezproreda"/>
        <w:rPr>
          <w:b/>
          <w:sz w:val="24"/>
          <w:szCs w:val="24"/>
        </w:rPr>
      </w:pPr>
    </w:p>
    <w:p w:rsidR="00D12CB3" w:rsidRPr="00D12CB3" w:rsidRDefault="00D12CB3" w:rsidP="00D12CB3">
      <w:pPr>
        <w:pStyle w:val="Bezproreda"/>
        <w:rPr>
          <w:sz w:val="24"/>
          <w:szCs w:val="24"/>
        </w:rPr>
      </w:pPr>
      <w:r w:rsidRPr="00D12CB3">
        <w:rPr>
          <w:b/>
          <w:sz w:val="24"/>
          <w:szCs w:val="24"/>
        </w:rPr>
        <w:t xml:space="preserve">AOP 334 Rashodi za nabavu nefinancijske imovine </w:t>
      </w:r>
    </w:p>
    <w:p w:rsidR="00A41073" w:rsidRDefault="00D12CB3" w:rsidP="00D12CB3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Došlo je do većeg odstupanja od ostvarenja u izvještajnom razdoblju prethodne godine iz</w:t>
      </w:r>
      <w:r>
        <w:rPr>
          <w:sz w:val="24"/>
          <w:szCs w:val="24"/>
        </w:rPr>
        <w:t xml:space="preserve"> razloga što je u tekućoj godini nabavljeno manje nefinancijske imovine u odnosu na prethodnu godinu. </w:t>
      </w:r>
    </w:p>
    <w:p w:rsidR="00D12CB3" w:rsidRDefault="00D12CB3" w:rsidP="00D12CB3">
      <w:pPr>
        <w:pStyle w:val="Bezproreda"/>
        <w:rPr>
          <w:sz w:val="24"/>
          <w:szCs w:val="24"/>
        </w:rPr>
      </w:pPr>
    </w:p>
    <w:p w:rsidR="00D12CB3" w:rsidRPr="00D12CB3" w:rsidRDefault="00D12CB3" w:rsidP="00D12CB3">
      <w:pPr>
        <w:pStyle w:val="Bezproreda"/>
        <w:rPr>
          <w:sz w:val="24"/>
          <w:szCs w:val="24"/>
        </w:rPr>
      </w:pPr>
    </w:p>
    <w:p w:rsidR="006139B2" w:rsidRDefault="006139B2" w:rsidP="006139B2">
      <w:pPr>
        <w:pStyle w:val="Bezproreda"/>
        <w:rPr>
          <w:sz w:val="24"/>
          <w:szCs w:val="24"/>
        </w:rPr>
      </w:pPr>
    </w:p>
    <w:p w:rsidR="006139B2" w:rsidRDefault="006139B2" w:rsidP="006139B2">
      <w:pPr>
        <w:pStyle w:val="Bezproreda"/>
        <w:rPr>
          <w:sz w:val="24"/>
          <w:szCs w:val="24"/>
        </w:rPr>
      </w:pPr>
    </w:p>
    <w:p w:rsidR="006139B2" w:rsidRDefault="006139B2" w:rsidP="006139B2">
      <w:pPr>
        <w:pStyle w:val="Bezproreda"/>
        <w:rPr>
          <w:b/>
          <w:sz w:val="28"/>
          <w:szCs w:val="28"/>
          <w:u w:val="single"/>
        </w:rPr>
      </w:pPr>
      <w:r w:rsidRPr="00D12CB3">
        <w:rPr>
          <w:b/>
          <w:sz w:val="28"/>
          <w:szCs w:val="28"/>
          <w:u w:val="single"/>
        </w:rPr>
        <w:t xml:space="preserve">BILJEŠKE UZ RAS-FUNKCIJSKI </w:t>
      </w:r>
    </w:p>
    <w:p w:rsidR="00D12CB3" w:rsidRDefault="00D12CB3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Prema funkcijskoj klasifikaciji razvrstavaju se rashodi poslovanja razreda 3 i rashodi za nabavu nefinancijske imovine razreda 4, a izdaci za financijsku imovinu i otplatu zajmova ne uključuju se u obrazac. </w:t>
      </w:r>
    </w:p>
    <w:p w:rsidR="002B1508" w:rsidRDefault="002B1508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Rashodi škole klasificiraju se pod funkciju 09 Obrazovanje, 0912 osnovno obrazovanje s tim da se rashodi </w:t>
      </w:r>
      <w:r w:rsidR="00242683">
        <w:rPr>
          <w:sz w:val="24"/>
          <w:szCs w:val="24"/>
        </w:rPr>
        <w:t xml:space="preserve">za prehranu </w:t>
      </w:r>
      <w:r>
        <w:rPr>
          <w:sz w:val="24"/>
          <w:szCs w:val="24"/>
        </w:rPr>
        <w:t>učenik</w:t>
      </w:r>
      <w:r w:rsidR="00242683">
        <w:rPr>
          <w:sz w:val="24"/>
          <w:szCs w:val="24"/>
        </w:rPr>
        <w:t>a</w:t>
      </w:r>
      <w:r>
        <w:rPr>
          <w:sz w:val="24"/>
          <w:szCs w:val="24"/>
        </w:rPr>
        <w:t xml:space="preserve"> u školskoj kuhinji klasificiraju pod 096 Dodatne usluge u obrazovanju. </w:t>
      </w:r>
    </w:p>
    <w:p w:rsidR="00D12CB3" w:rsidRDefault="002B1508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>Ukupni rashodi u 2015. godini iznose 3.987.207 kn.</w:t>
      </w:r>
      <w:bookmarkStart w:id="0" w:name="_GoBack"/>
      <w:bookmarkEnd w:id="0"/>
    </w:p>
    <w:p w:rsidR="002B1508" w:rsidRDefault="002B1508" w:rsidP="006139B2">
      <w:pPr>
        <w:pStyle w:val="Bezproreda"/>
        <w:rPr>
          <w:sz w:val="24"/>
          <w:szCs w:val="24"/>
        </w:rPr>
      </w:pPr>
    </w:p>
    <w:p w:rsidR="00A41073" w:rsidRDefault="00A41073" w:rsidP="006139B2">
      <w:pPr>
        <w:pStyle w:val="Bezproreda"/>
        <w:rPr>
          <w:sz w:val="24"/>
          <w:szCs w:val="24"/>
        </w:rPr>
      </w:pPr>
    </w:p>
    <w:p w:rsidR="00A41073" w:rsidRDefault="00A41073" w:rsidP="006139B2">
      <w:pPr>
        <w:pStyle w:val="Bezproreda"/>
        <w:rPr>
          <w:sz w:val="24"/>
          <w:szCs w:val="24"/>
        </w:rPr>
      </w:pPr>
    </w:p>
    <w:p w:rsidR="00A41073" w:rsidRPr="00D12CB3" w:rsidRDefault="00A41073" w:rsidP="006139B2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Voditelj računovodstva: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Ravnateljica:</w:t>
      </w:r>
    </w:p>
    <w:p w:rsidR="0056093D" w:rsidRDefault="00A41073" w:rsidP="00014900">
      <w:pPr>
        <w:pStyle w:val="Bezproreda"/>
        <w:rPr>
          <w:sz w:val="24"/>
          <w:szCs w:val="24"/>
        </w:rPr>
      </w:pPr>
      <w:r>
        <w:rPr>
          <w:sz w:val="24"/>
          <w:szCs w:val="24"/>
        </w:rPr>
        <w:t xml:space="preserve">                           Irena </w:t>
      </w:r>
      <w:proofErr w:type="spellStart"/>
      <w:r>
        <w:rPr>
          <w:sz w:val="24"/>
          <w:szCs w:val="24"/>
        </w:rPr>
        <w:t>Bardač</w:t>
      </w:r>
      <w:proofErr w:type="spellEnd"/>
      <w:r>
        <w:rPr>
          <w:sz w:val="24"/>
          <w:szCs w:val="24"/>
        </w:rPr>
        <w:t xml:space="preserve">                                                                 Slađana </w:t>
      </w:r>
      <w:proofErr w:type="spellStart"/>
      <w:r>
        <w:rPr>
          <w:sz w:val="24"/>
          <w:szCs w:val="24"/>
        </w:rPr>
        <w:t>Švajda</w:t>
      </w:r>
      <w:proofErr w:type="spellEnd"/>
    </w:p>
    <w:p w:rsidR="00D12CB3" w:rsidRDefault="00D12CB3" w:rsidP="00014900">
      <w:pPr>
        <w:pStyle w:val="Bezproreda"/>
        <w:rPr>
          <w:sz w:val="24"/>
          <w:szCs w:val="24"/>
        </w:rPr>
      </w:pPr>
    </w:p>
    <w:p w:rsidR="0056093D" w:rsidRDefault="0056093D" w:rsidP="00014900">
      <w:pPr>
        <w:pStyle w:val="Bezproreda"/>
        <w:rPr>
          <w:sz w:val="24"/>
          <w:szCs w:val="24"/>
        </w:rPr>
      </w:pPr>
    </w:p>
    <w:p w:rsidR="0056093D" w:rsidRPr="004B44DC" w:rsidRDefault="0056093D" w:rsidP="00014900">
      <w:pPr>
        <w:pStyle w:val="Bezproreda"/>
        <w:rPr>
          <w:sz w:val="24"/>
          <w:szCs w:val="24"/>
        </w:rPr>
      </w:pPr>
    </w:p>
    <w:p w:rsidR="00014900" w:rsidRPr="00014900" w:rsidRDefault="00014900" w:rsidP="00014900">
      <w:pPr>
        <w:pStyle w:val="Bezproreda"/>
        <w:ind w:firstLine="708"/>
        <w:rPr>
          <w:sz w:val="24"/>
          <w:szCs w:val="24"/>
        </w:rPr>
      </w:pPr>
    </w:p>
    <w:p w:rsidR="00014900" w:rsidRPr="00014900" w:rsidRDefault="00014900" w:rsidP="00014900">
      <w:pPr>
        <w:pStyle w:val="Bezproreda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3D6856" w:rsidRPr="003D6856" w:rsidRDefault="003D6856" w:rsidP="003D6856">
      <w:pPr>
        <w:pStyle w:val="Bezproreda"/>
        <w:jc w:val="center"/>
        <w:rPr>
          <w:b/>
          <w:sz w:val="24"/>
          <w:szCs w:val="24"/>
        </w:rPr>
      </w:pPr>
    </w:p>
    <w:p w:rsidR="003D6856" w:rsidRPr="003D6856" w:rsidRDefault="00C90682" w:rsidP="0056093D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</w:p>
    <w:sectPr w:rsidR="003D6856" w:rsidRPr="003D68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215D5"/>
    <w:multiLevelType w:val="hybridMultilevel"/>
    <w:tmpl w:val="935479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90DC7"/>
    <w:multiLevelType w:val="hybridMultilevel"/>
    <w:tmpl w:val="89A64532"/>
    <w:lvl w:ilvl="0" w:tplc="041A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30EF78E6"/>
    <w:multiLevelType w:val="hybridMultilevel"/>
    <w:tmpl w:val="E18AE90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EE238F"/>
    <w:multiLevelType w:val="hybridMultilevel"/>
    <w:tmpl w:val="00949B8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E22226"/>
    <w:multiLevelType w:val="hybridMultilevel"/>
    <w:tmpl w:val="4DEA77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56"/>
    <w:rsid w:val="00014900"/>
    <w:rsid w:val="0004539D"/>
    <w:rsid w:val="001F248F"/>
    <w:rsid w:val="00242683"/>
    <w:rsid w:val="002B1508"/>
    <w:rsid w:val="00366788"/>
    <w:rsid w:val="003A3BE2"/>
    <w:rsid w:val="003D6856"/>
    <w:rsid w:val="004128EC"/>
    <w:rsid w:val="004B44DC"/>
    <w:rsid w:val="0056093D"/>
    <w:rsid w:val="0059491A"/>
    <w:rsid w:val="005A77FE"/>
    <w:rsid w:val="006139B2"/>
    <w:rsid w:val="008B2920"/>
    <w:rsid w:val="008C0596"/>
    <w:rsid w:val="009A4246"/>
    <w:rsid w:val="009F3ACC"/>
    <w:rsid w:val="009F763D"/>
    <w:rsid w:val="00A16600"/>
    <w:rsid w:val="00A41073"/>
    <w:rsid w:val="00B07E36"/>
    <w:rsid w:val="00B738F4"/>
    <w:rsid w:val="00C90682"/>
    <w:rsid w:val="00D07012"/>
    <w:rsid w:val="00D12CB3"/>
    <w:rsid w:val="00D21485"/>
    <w:rsid w:val="00EA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6FAC63-134E-43ED-96DC-56B08C93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D6856"/>
    <w:pPr>
      <w:ind w:left="720"/>
      <w:contextualSpacing/>
    </w:pPr>
  </w:style>
  <w:style w:type="paragraph" w:styleId="Bezproreda">
    <w:name w:val="No Spacing"/>
    <w:uiPriority w:val="1"/>
    <w:qFormat/>
    <w:rsid w:val="003D68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5</Pages>
  <Words>1261</Words>
  <Characters>7191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1</cp:revision>
  <dcterms:created xsi:type="dcterms:W3CDTF">2016-01-31T14:38:00Z</dcterms:created>
  <dcterms:modified xsi:type="dcterms:W3CDTF">2016-01-31T19:30:00Z</dcterms:modified>
</cp:coreProperties>
</file>